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100" w:line="240" w:lineRule="auto"/>
        <w:ind w:left="-180" w:firstLine="0"/>
        <w:contextualSpacing w:val="0"/>
        <w:jc w:val="center"/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Patrick Henry/Jonathan Edwards Rhetorical Analysis Paper</w:t>
      </w:r>
    </w:p>
    <w:p w:rsidR="00000000" w:rsidDel="00000000" w:rsidP="00000000" w:rsidRDefault="00000000" w:rsidRPr="00000000">
      <w:pPr>
        <w:spacing w:after="0" w:before="100" w:line="240" w:lineRule="auto"/>
        <w:ind w:left="-180" w:firstLine="0"/>
        <w:contextualSpacing w:val="0"/>
        <w:jc w:val="center"/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English III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rial Narrow" w:cs="Arial Narrow" w:eastAsia="Arial Narrow" w:hAnsi="Arial Narrow"/>
          <w:b w:val="1"/>
          <w:color w:val="2b2b2b"/>
          <w:rtl w:val="0"/>
        </w:rPr>
        <w:t xml:space="preserve">CCS Standards: </w:t>
      </w:r>
      <w:r w:rsidDel="00000000" w:rsidR="00000000" w:rsidRPr="00000000">
        <w:rPr>
          <w:rFonts w:ascii="Arial Narrow" w:cs="Arial Narrow" w:eastAsia="Arial Narrow" w:hAnsi="Arial Narrow"/>
          <w:color w:val="2b2b2b"/>
          <w:rtl w:val="0"/>
        </w:rPr>
        <w:t xml:space="preserve">See literary analysis rubric</w:t>
      </w:r>
      <w:r w:rsidDel="00000000" w:rsidR="00000000" w:rsidRPr="00000000">
        <w:rPr>
          <w:rFonts w:ascii="Arial Narrow" w:cs="Arial Narrow" w:eastAsia="Arial Narrow" w:hAnsi="Arial Narrow"/>
          <w:b w:val="1"/>
          <w:color w:val="2b2b2b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Directions: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Review Jonathan Edwards’ “Sinners in the Hands of an Angry God” and Patrick Henry’s “Speech to the Virginia Convention.” Then, respond to the following prompt:</w:t>
      </w:r>
    </w:p>
    <w:p w:rsidR="00000000" w:rsidDel="00000000" w:rsidP="00000000" w:rsidRDefault="00000000" w:rsidRPr="00000000">
      <w:pPr>
        <w:spacing w:after="200" w:line="240" w:lineRule="auto"/>
        <w:ind w:right="-45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ind w:right="-450"/>
        <w:contextualSpacing w:val="0"/>
        <w:jc w:val="center"/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After reviewing and annotating both speeches for their use of rhetoric, compare and contrast the persuasive techniques used and decide which speech used the techniques most effectively and why.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Requirements: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Identify and discuss uses of the following: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Logos, Ethos, Pathos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Consider how repetition, word choice, dramatic pause, literary devices are used to create the speakers’ rhetorical appeals.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Explain the purpose of each speech, and discuss which speaker attained his goal.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Use 3</w:t>
      </w:r>
      <w:r w:rsidDel="00000000" w:rsidR="00000000" w:rsidRPr="00000000">
        <w:rPr>
          <w:rFonts w:ascii="Arial Narrow" w:cs="Arial Narrow" w:eastAsia="Arial Narrow" w:hAnsi="Arial Narrow"/>
          <w:vertAlign w:val="superscript"/>
          <w:rtl w:val="0"/>
        </w:rPr>
        <w:t xml:space="preserve">rd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person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Must have a clear and defendable claim as well as address the counter-argument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Must have textual evidence (direct quotes and/or paraphrases cited correctly using MLA)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Paper is in MLA format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2-3 pages in length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 Works Cited page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Appropriate citation information for the speeches will be given in class. 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RHETORIC: FORMS OF PERSUASION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0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0"/>
        <w:gridCol w:w="3360"/>
        <w:gridCol w:w="3360"/>
        <w:tblGridChange w:id="0">
          <w:tblGrid>
            <w:gridCol w:w="3360"/>
            <w:gridCol w:w="3360"/>
            <w:gridCol w:w="3360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Logos:  Logical Thoughts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Ethos: Credibility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Pathos: Emotional Appeal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270"/>
              <w:contextualSpacing w:val="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Theoretical, abstract language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270"/>
              <w:contextualSpacing w:val="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Denotative meanings/reasons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270"/>
              <w:contextualSpacing w:val="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Literal and historical analogies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270"/>
              <w:contextualSpacing w:val="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Definitions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270"/>
              <w:contextualSpacing w:val="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Factual data and statistics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270"/>
              <w:contextualSpacing w:val="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Quotations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270"/>
              <w:contextualSpacing w:val="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Citations from experts and authorities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270"/>
              <w:contextualSpacing w:val="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Informed opinions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18" w:hanging="270"/>
              <w:contextualSpacing w:val="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Language appropriate to audience and subject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18" w:hanging="270"/>
              <w:contextualSpacing w:val="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Restrained, sincere, fair minded presentation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18" w:hanging="270"/>
              <w:contextualSpacing w:val="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Appropriate level of vocabulary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18" w:hanging="270"/>
              <w:contextualSpacing w:val="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Correct grammar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18" w:hanging="270"/>
              <w:contextualSpacing w:val="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Testimonial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60" w:lineRule="auto"/>
              <w:ind w:left="366" w:hanging="270"/>
              <w:contextualSpacing w:val="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Vivid, concrete language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60" w:lineRule="auto"/>
              <w:ind w:left="366" w:hanging="270"/>
              <w:contextualSpacing w:val="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Emotionally loaded language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60" w:lineRule="auto"/>
              <w:ind w:left="366" w:hanging="270"/>
              <w:contextualSpacing w:val="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Connotative meanings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60" w:lineRule="auto"/>
              <w:ind w:left="366" w:hanging="270"/>
              <w:contextualSpacing w:val="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Emotional examples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60" w:lineRule="auto"/>
              <w:ind w:left="366" w:hanging="270"/>
              <w:contextualSpacing w:val="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Vivid descriptions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60" w:lineRule="auto"/>
              <w:ind w:left="366" w:hanging="270"/>
              <w:contextualSpacing w:val="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Narratives of emotional events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60" w:lineRule="auto"/>
              <w:ind w:left="366" w:hanging="270"/>
              <w:contextualSpacing w:val="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Emotional tone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60" w:lineRule="auto"/>
              <w:ind w:left="366" w:hanging="270"/>
              <w:contextualSpacing w:val="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Figurative language</w:t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Effect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Evokes a cognitive, rationale response, uses facts to support the argument.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Demonstrates author's reliability, competence, and respect for the audience's ideas and values through reliable and appropriate use of support and general accuracy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Evokes an emotional response, appeals to the emotions of the listeners</w:t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** Anon. (2008).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Rhetoric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  Arizona State University. </w:t>
      </w:r>
    </w:p>
    <w:sectPr>
      <w:pgSz w:h="15840" w:w="12240"/>
      <w:pgMar w:bottom="1080" w:top="1080" w:left="108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